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BB" w:rsidRDefault="004608BB" w:rsidP="004608BB">
      <w:pPr>
        <w:rPr>
          <w:b/>
        </w:rPr>
      </w:pPr>
      <w:r w:rsidRPr="004608BB">
        <w:t>Glyn Barker</w:t>
      </w:r>
    </w:p>
    <w:p w:rsidR="004608BB" w:rsidRDefault="004608BB" w:rsidP="004608BB">
      <w:r>
        <w:t xml:space="preserve">Former Vice Chairman-UK </w:t>
      </w:r>
    </w:p>
    <w:p w:rsidR="004608BB" w:rsidRDefault="004608BB" w:rsidP="004608BB">
      <w:proofErr w:type="spellStart"/>
      <w:r>
        <w:t>PricewaterhouseCooper</w:t>
      </w:r>
      <w:proofErr w:type="spellEnd"/>
      <w:r>
        <w:t xml:space="preserve"> LLP</w:t>
      </w:r>
    </w:p>
    <w:p w:rsidR="004608BB" w:rsidRDefault="004608BB" w:rsidP="004608BB"/>
    <w:p w:rsidR="004608BB" w:rsidRDefault="004608BB" w:rsidP="004608BB">
      <w:r>
        <w:t>A</w:t>
      </w:r>
      <w:r w:rsidRPr="00011B4D">
        <w:t>ge 59, U.K. citizen, has served as a director of the Company since 2012.</w:t>
      </w:r>
      <w:r>
        <w:t xml:space="preserve"> </w:t>
      </w:r>
      <w:r w:rsidRPr="00011B4D">
        <w:t>Mr. Barker served as Vice Chairman-U.K. of PricewaterhouseCoopers LLP (PwC) from 2008 to 2011. He</w:t>
      </w:r>
      <w:r>
        <w:t xml:space="preserve"> </w:t>
      </w:r>
      <w:r w:rsidRPr="00011B4D">
        <w:t>was also responsible for PwC’s strategy and business development for the geographic areas of Europe, the</w:t>
      </w:r>
      <w:r>
        <w:t xml:space="preserve"> </w:t>
      </w:r>
      <w:r w:rsidRPr="00011B4D">
        <w:t>Middle East, Africa and India. Mr. Barker joined PwC in 1975 and became an audit partner in 1987. He</w:t>
      </w:r>
      <w:r>
        <w:t xml:space="preserve"> </w:t>
      </w:r>
      <w:r w:rsidRPr="00011B4D">
        <w:t>then established PwC’s private equity-focused Transactions Services business and led it globally. He joined</w:t>
      </w:r>
      <w:r>
        <w:t xml:space="preserve"> </w:t>
      </w:r>
      <w:r w:rsidRPr="00011B4D">
        <w:t>the Management Board of PwC in the UK as Head of the Assurance Practice in 2002. In 2006, he became</w:t>
      </w:r>
      <w:r>
        <w:t xml:space="preserve"> </w:t>
      </w:r>
      <w:r w:rsidRPr="00011B4D">
        <w:t xml:space="preserve">UK Managing Partner and served in that role until 2008. </w:t>
      </w:r>
    </w:p>
    <w:p w:rsidR="004608BB" w:rsidRDefault="004608BB" w:rsidP="004608BB"/>
    <w:p w:rsidR="004608BB" w:rsidRDefault="004608BB" w:rsidP="004608BB">
      <w:pPr>
        <w:rPr>
          <w:b/>
        </w:rPr>
      </w:pPr>
      <w:bookmarkStart w:id="0" w:name="_GoBack"/>
      <w:bookmarkEnd w:id="0"/>
      <w:r w:rsidRPr="00011B4D">
        <w:t>Mr. Barker is a non-executive director of</w:t>
      </w:r>
      <w:r>
        <w:t xml:space="preserve"> </w:t>
      </w:r>
      <w:r w:rsidRPr="00011B4D">
        <w:t>Berkeley Group Holdings plc (LON: BKG) (since 2012) and Aviva plc (LON: AV) (since 2012) and</w:t>
      </w:r>
      <w:r>
        <w:t xml:space="preserve"> </w:t>
      </w:r>
      <w:r w:rsidRPr="00011B4D">
        <w:t>Chairman of IMCO Holdings Ltd. (since 2012). He is also director of the English National Opera</w:t>
      </w:r>
      <w:r>
        <w:t xml:space="preserve"> </w:t>
      </w:r>
      <w:r w:rsidRPr="00011B4D">
        <w:t>Company (since 2009). Mr. Barker received his Bachelor of Science degree in Economics &amp; Accounting in</w:t>
      </w:r>
      <w:r>
        <w:t xml:space="preserve"> </w:t>
      </w:r>
      <w:r w:rsidRPr="00011B4D">
        <w:t>1975 from the University of Bristol and is a Chartered Accountant.</w:t>
      </w:r>
    </w:p>
    <w:p w:rsidR="005136A2" w:rsidRDefault="005136A2"/>
    <w:sectPr w:rsidR="00513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BB"/>
    <w:rsid w:val="004608BB"/>
    <w:rsid w:val="0051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Cantwell, Guy (Houston)</dc:creator>
  <cp:lastModifiedBy>Cantwell, Guy (Houston)</cp:lastModifiedBy>
  <cp:revision>1</cp:revision>
  <dcterms:created xsi:type="dcterms:W3CDTF">2013-07-09T18:15:00Z</dcterms:created>
  <dcterms:modified xsi:type="dcterms:W3CDTF">2013-07-09T18:15:00Z</dcterms:modified>
</cp:coreProperties>
</file>